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2020 4 vom 18. Oktober 2019</w:t>
      </w:r>
    </w:p>
    <w:p>
      <w:r>
        <w:t>GR Gerichte, 2019-10-18, DE</w:t>
      </w:r>
    </w:p>
    <w:p>
      <w:r>
        <w:rPr>
          <w:b/>
        </w:rPr>
        <w:t xml:space="preserve">Quelle: </w:t>
      </w:r>
      <w:r>
        <w:t>https://mcp.opencaselaw.ch/entscheid/gr_gerichte_PKG 2020 4</w:t>
      </w:r>
    </w:p>
    <w:p>
      <w:r>
        <w:t>FR: GR_GERICHTE PKG 2020 4 du 18 octobre 2019</w:t>
      </w:r>
    </w:p>
    <w:p>
      <w:r>
        <w:t>IT: GR_GERICHTE PKG 2020 4 del 18 ottobre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 6 Aus den Erwägungen:</w:t>
      </w:r>
    </w:p>
    <w:p>
      <w:r>
        <w:rPr>
          <w:b/>
        </w:rPr>
        <w:t>E. 6</w:t>
      </w:r>
    </w:p>
    <w:p>
      <w:r>
        <w:t>/ 6 tronischen Eingabe den Empfang einer Abgabequittung voraussetzt – oder hätte dies jeden- falls wissen müssen. Die Beschwerdeführerin hatte bis Kanzleischluss fünf Stunden Zeit, um sich diesbezüglich bei der Vorinstanz zu erkundigen. Vor diesem Hintergrund ist nicht nach- vollziehbar, aus welchem Grund die Gerichtskanzlei der Vorinstanz zu Abklärungen verpflich- tet gewesen sein sollte, wenn die Beschwerdeführerin – trotz ihrem erheblichen Informati- onsvorsprung gegenüber der Gerichtskanzlei – jedwede Abklärung ihrerseits offenbar als überflüssig erachtete. Abschliessend ist erneut darauf hinzuweisen, dass die Beschwerdeführerin selbst nach Kanz- leischluss immer noch genügend Zeit gehabt hätte, um die Eingabe elektronisch oder auf dem A._____weg einzureichen. ZK1 19 199 Entscheid vom 26. Oktober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